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2" w:line="240" w:lineRule="auto"/>
        <w:ind w:left="1270" w:right="1303" w:firstLine="0"/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rtl w:val="0"/>
        </w:rPr>
        <w:t xml:space="preserve">TIMBRE DA 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" w:line="240" w:lineRule="auto"/>
        <w:rPr>
          <w:rFonts w:ascii="Century Gothic" w:cs="Century Gothic" w:eastAsia="Century Gothic" w:hAnsi="Century Gothic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95" w:lineRule="auto"/>
        <w:ind w:left="1270" w:right="1312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Declaração de Reconhecimento da Fluência Linguística Instituição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no 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0" w:line="240" w:lineRule="auto"/>
        <w:rPr>
          <w:rFonts w:ascii="Century Gothic" w:cs="Century Gothic" w:eastAsia="Century Gothic" w:hAnsi="Century Gothic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084"/>
          <w:tab w:val="left" w:leader="none" w:pos="3829"/>
          <w:tab w:val="left" w:leader="none" w:pos="6234"/>
          <w:tab w:val="left" w:leader="none" w:pos="7709"/>
        </w:tabs>
        <w:spacing w:before="92" w:line="240" w:lineRule="auto"/>
        <w:ind w:left="104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Declaro,</w:t>
        <w:tab/>
        <w:t xml:space="preserve">como</w:t>
        <w:tab/>
        <w:t xml:space="preserve">coorientador</w:t>
        <w:tab/>
        <w:t xml:space="preserve">do</w:t>
        <w:tab/>
        <w:t xml:space="preserve">estudante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433"/>
          <w:tab w:val="left" w:leader="none" w:pos="6792"/>
        </w:tabs>
        <w:spacing w:before="23" w:line="259" w:lineRule="auto"/>
        <w:ind w:left="104" w:right="14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em comum acordo com o orientador brasileiro, que o mesmo possui as competências linguísticas necessárias no idioma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:rsidR="00000000" w:rsidDel="00000000" w:rsidP="00000000" w:rsidRDefault="00000000" w:rsidRPr="00000000" w14:paraId="00000008">
      <w:pPr>
        <w:widowControl w:val="0"/>
        <w:spacing w:before="154" w:line="240" w:lineRule="auto"/>
        <w:ind w:left="104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Declaro que houve as seguintes interações prévias com o orientando:</w:t>
      </w:r>
    </w:p>
    <w:p w:rsidR="00000000" w:rsidDel="00000000" w:rsidP="00000000" w:rsidRDefault="00000000" w:rsidRPr="00000000" w14:paraId="00000009">
      <w:pPr>
        <w:widowControl w:val="0"/>
        <w:spacing w:before="154" w:line="240" w:lineRule="auto"/>
        <w:ind w:left="104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84" w:line="400" w:lineRule="auto"/>
        <w:ind w:left="699" w:right="667.7952755905511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Reuniões de trabalho referente à pesquisa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122122</wp:posOffset>
                </wp:positionV>
                <wp:extent cx="276225" cy="152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6460" y="3718723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122122</wp:posOffset>
                </wp:positionV>
                <wp:extent cx="276225" cy="152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71780" cy="155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6460" y="3708563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71780" cy="1555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spacing w:before="184" w:line="400" w:lineRule="auto"/>
        <w:ind w:left="699" w:right="667.7952755905511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entrevista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71780" cy="155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6460" y="3708563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71780" cy="1555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154"/>
        </w:tabs>
        <w:spacing w:line="250" w:lineRule="auto"/>
        <w:ind w:left="699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outros contatos anteriores. Descreva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1780" cy="1352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6460" y="3718723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1780" cy="1352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135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before="5" w:line="240" w:lineRule="auto"/>
        <w:rPr>
          <w:rFonts w:ascii="Century Gothic" w:cs="Century Gothic" w:eastAsia="Century Gothic" w:hAnsi="Century Gothi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92" w:line="256" w:lineRule="auto"/>
        <w:ind w:left="104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Nesse contexto, suas habilidades linguísticas ficaram evidentes na clareza de suas expressões,na fluidez das conversas e na capacidade de compreensão.</w:t>
      </w:r>
    </w:p>
    <w:p w:rsidR="00000000" w:rsidDel="00000000" w:rsidP="00000000" w:rsidRDefault="00000000" w:rsidRPr="00000000" w14:paraId="0000000F">
      <w:pPr>
        <w:widowControl w:val="0"/>
        <w:spacing w:before="162" w:line="259" w:lineRule="auto"/>
        <w:ind w:left="104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É importante ressaltar que esta instituição de Ensino Superior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00" w:line="415" w:lineRule="auto"/>
        <w:ind w:left="0" w:right="3764" w:firstLine="0"/>
        <w:jc w:val="center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widowControl w:val="0"/>
        <w:spacing w:before="100" w:line="415" w:lineRule="auto"/>
        <w:ind w:left="0" w:right="3764" w:firstLine="0"/>
        <w:jc w:val="center"/>
        <w:rPr>
          <w:rFonts w:ascii="Century Gothic" w:cs="Century Gothic" w:eastAsia="Century Gothic" w:hAnsi="Century Gothic"/>
          <w:sz w:val="23"/>
          <w:szCs w:val="23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Nome IES no 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04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822"/>
        </w:tabs>
        <w:spacing w:before="182" w:line="246.99999999999994" w:lineRule="auto"/>
        <w:ind w:left="821" w:right="192" w:hanging="360"/>
        <w:jc w:val="both"/>
        <w:rPr>
          <w:rFonts w:ascii="Century Gothic" w:cs="Century Gothic" w:eastAsia="Century Gothic" w:hAnsi="Century Gothic"/>
          <w:b w:val="1"/>
          <w:color w:val="ff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Este é um modelo de orientação para elaboração da declaração de reconhecimento de língua estrangeira do coorientador no exterior.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822"/>
        </w:tabs>
        <w:spacing w:before="15" w:line="249" w:lineRule="auto"/>
        <w:ind w:left="821" w:right="191" w:hanging="360"/>
        <w:jc w:val="both"/>
        <w:rPr>
          <w:rFonts w:ascii="Century Gothic" w:cs="Century Gothic" w:eastAsia="Century Gothic" w:hAnsi="Century Gothic"/>
          <w:b w:val="1"/>
          <w:color w:val="ff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Esta declaração deverá ser traduzida em sua íntegra para os idiomas inglês, francês ou espanhol, conforme instituição de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822"/>
        </w:tabs>
        <w:spacing w:before="8" w:line="256" w:lineRule="auto"/>
        <w:ind w:left="821" w:right="193" w:hanging="360"/>
        <w:jc w:val="both"/>
        <w:rPr>
          <w:rFonts w:ascii="Century Gothic" w:cs="Century Gothic" w:eastAsia="Century Gothic" w:hAnsi="Century Gothic"/>
          <w:b w:val="1"/>
          <w:color w:val="ff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22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616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412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0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00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800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59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392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188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