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Google Sans" w:cs="Google Sans" w:eastAsia="Google Sans" w:hAnsi="Google Sans"/>
          <w:b w:val="1"/>
          <w:bCs w:val="1"/>
          <w:sz w:val="40"/>
          <w:szCs w:val="4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sz w:val="40"/>
          <w:szCs w:val="40"/>
          <w:rtl w:val="0"/>
        </w:rPr>
        <w:t xml:space="preserve">EXEMPLAR REVISADO</w:t>
      </w:r>
    </w:p>
    <w:p w:rsidR="00000000" w:rsidDel="00000000" w:rsidP="00000000" w:rsidRDefault="00000000" w:rsidRPr="00000000" w14:paraId="00000002">
      <w:pPr>
        <w:spacing w:before="240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Nome do aluno: </w:t>
      </w: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04">
      <w:pPr>
        <w:spacing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Número USP: </w:t>
      </w: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</w:t>
        <w:tab/>
      </w:r>
    </w:p>
    <w:p w:rsidR="00000000" w:rsidDel="00000000" w:rsidP="00000000" w:rsidRDefault="00000000" w:rsidRPr="00000000" w14:paraId="00000005">
      <w:pPr>
        <w:spacing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Nome do orientador: </w:t>
      </w: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06">
      <w:pPr>
        <w:spacing w:before="240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Programa: Química</w:t>
      </w:r>
    </w:p>
    <w:p w:rsidR="00000000" w:rsidDel="00000000" w:rsidP="00000000" w:rsidRDefault="00000000" w:rsidRPr="00000000" w14:paraId="00000007">
      <w:pPr>
        <w:spacing w:before="240" w:lineRule="auto"/>
        <w:rPr>
          <w:rFonts w:ascii="Google Sans" w:cs="Google Sans" w:eastAsia="Google Sans" w:hAnsi="Google Sans"/>
          <w:b w:val="1"/>
          <w:bCs w:val="1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Curso:</w:t>
        <w:tab/>
        <w:tab/>
        <w:t xml:space="preserve">[    ] Mestrado</w:t>
        <w:tab/>
        <w:tab/>
        <w:t xml:space="preserve">[    ] Doutorado</w:t>
        <w:tab/>
        <w:t xml:space="preserve">[    ] Doutorado Direto</w:t>
      </w:r>
    </w:p>
    <w:p w:rsidR="00000000" w:rsidDel="00000000" w:rsidP="00000000" w:rsidRDefault="00000000" w:rsidRPr="00000000" w14:paraId="00000008">
      <w:pPr>
        <w:spacing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Título da defesa: </w:t>
      </w: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                                                                                                                                          </w:t>
        <w:tab/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Google Sans" w:cs="Google Sans" w:eastAsia="Google Sans" w:hAnsi="Google Sans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Data da defesa: </w:t>
      </w:r>
      <w:r w:rsidDel="00000000" w:rsidR="00000000" w:rsidRPr="00000000">
        <w:rPr>
          <w:rFonts w:ascii="Google Sans" w:cs="Google Sans" w:eastAsia="Google Sans" w:hAnsi="Google Sans"/>
          <w:u w:val="single"/>
          <w:rtl w:val="0"/>
        </w:rPr>
        <w:t xml:space="preserve">____/____/____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Google Sans" w:cs="Google Sans" w:eastAsia="Google Sans" w:hAnsi="Google Sans"/>
          <w:u w:val="single"/>
        </w:rPr>
        <w:sectPr>
          <w:headerReference r:id="rId6" w:type="default"/>
          <w:pgSz w:h="16834" w:w="11909" w:orient="portrait"/>
          <w:pgMar w:bottom="1440" w:top="1440" w:left="1440" w:right="144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40" w:lineRule="auto"/>
        <w:rPr>
          <w:rFonts w:ascii="Google Sans" w:cs="Google Sans" w:eastAsia="Google Sans" w:hAnsi="Google Sans"/>
          <w:b w:val="1"/>
          <w:bCs w:val="1"/>
        </w:rPr>
        <w:sectPr>
          <w:type w:val="continuous"/>
          <w:pgSz w:h="16834" w:w="11909" w:orient="portrait"/>
          <w:pgMar w:bottom="1440" w:top="1440" w:left="1440" w:right="1440" w:header="0" w:footer="720"/>
          <w:cols w:equalWidth="0" w:num="1">
            <w:col w:space="0" w:w="9025.5"/>
          </w:cols>
        </w:sect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__________________________________</w:t>
        <w:tab/>
        <w:tab/>
        <w:tab/>
        <w:t xml:space="preserve">_________________________________</w:t>
        <w:tab/>
        <w:tab/>
        <w:t xml:space="preserve">            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 Aluno(a)</w:t>
      </w:r>
      <w:r w:rsidDel="00000000" w:rsidR="00000000" w:rsidRPr="00000000">
        <w:rPr>
          <w:rFonts w:ascii="Google Sans" w:cs="Google Sans" w:eastAsia="Google Sans" w:hAnsi="Google Sans"/>
          <w:rtl w:val="0"/>
        </w:rPr>
        <w:tab/>
        <w:tab/>
        <w:tab/>
        <w:tab/>
        <w:tab/>
        <w:t xml:space="preserve">    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rtl w:val="0"/>
        </w:rPr>
        <w:t xml:space="preserve">Orientador(a)</w:t>
      </w:r>
    </w:p>
    <w:p w:rsidR="00000000" w:rsidDel="00000000" w:rsidP="00000000" w:rsidRDefault="00000000" w:rsidRPr="00000000" w14:paraId="0000000E">
      <w:pPr>
        <w:widowControl w:val="0"/>
        <w:spacing w:before="0" w:line="240" w:lineRule="auto"/>
        <w:rPr>
          <w:rFonts w:ascii="Google Sans" w:cs="Google Sans" w:eastAsia="Google Sans" w:hAnsi="Google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0" w:line="240" w:lineRule="auto"/>
        <w:rPr>
          <w:rFonts w:ascii="Google Sans" w:cs="Google Sans" w:eastAsia="Google Sans" w:hAnsi="Google Sans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sz w:val="20"/>
          <w:szCs w:val="20"/>
          <w:rtl w:val="0"/>
        </w:rPr>
        <w:t xml:space="preserve">Obs.:  </w:t>
      </w:r>
    </w:p>
    <w:p w:rsidR="00000000" w:rsidDel="00000000" w:rsidP="00000000" w:rsidRDefault="00000000" w:rsidRPr="00000000" w14:paraId="00000010">
      <w:pPr>
        <w:widowControl w:val="0"/>
        <w:spacing w:before="0" w:line="240" w:lineRule="auto"/>
        <w:rPr>
          <w:rFonts w:ascii="Google Sans" w:cs="Google Sans" w:eastAsia="Google Sans" w:hAnsi="Google Sans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sz w:val="20"/>
          <w:szCs w:val="20"/>
          <w:rtl w:val="0"/>
        </w:rPr>
        <w:t xml:space="preserve">1 – A entrega de uma versão revisada é opcional.</w:t>
      </w:r>
    </w:p>
    <w:p w:rsidR="00000000" w:rsidDel="00000000" w:rsidP="00000000" w:rsidRDefault="00000000" w:rsidRPr="00000000" w14:paraId="00000011">
      <w:pPr>
        <w:widowControl w:val="0"/>
        <w:spacing w:before="0" w:line="240" w:lineRule="auto"/>
        <w:rPr>
          <w:rFonts w:ascii="Google Sans" w:cs="Google Sans" w:eastAsia="Google Sans" w:hAnsi="Google Sans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sz w:val="20"/>
          <w:szCs w:val="20"/>
          <w:u w:val="single"/>
          <w:rtl w:val="0"/>
        </w:rPr>
        <w:t xml:space="preserve">2 – O título do exemplar revisado deve ser igual ao título do exemplar original.</w:t>
      </w:r>
    </w:p>
    <w:p w:rsidR="00000000" w:rsidDel="00000000" w:rsidP="00000000" w:rsidRDefault="00000000" w:rsidRPr="00000000" w14:paraId="00000012">
      <w:pPr>
        <w:widowControl w:val="0"/>
        <w:spacing w:before="0" w:line="240" w:lineRule="auto"/>
        <w:rPr>
          <w:rFonts w:ascii="Google Sans" w:cs="Google Sans" w:eastAsia="Google Sans" w:hAnsi="Google Sans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sz w:val="20"/>
          <w:szCs w:val="20"/>
          <w:rtl w:val="0"/>
        </w:rPr>
        <w:t xml:space="preserve">3 – A página de rosto do exemplar revisado deve conter a seguinte informação:</w:t>
      </w:r>
    </w:p>
    <w:p w:rsidR="00000000" w:rsidDel="00000000" w:rsidP="00000000" w:rsidRDefault="00000000" w:rsidRPr="00000000" w14:paraId="00000013">
      <w:pPr>
        <w:widowControl w:val="0"/>
        <w:spacing w:before="0" w:line="240" w:lineRule="auto"/>
        <w:rPr>
          <w:rFonts w:ascii="Google Sans" w:cs="Google Sans" w:eastAsia="Google Sans" w:hAnsi="Google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3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75"/>
        <w:tblGridChange w:id="0">
          <w:tblGrid>
            <w:gridCol w:w="3375"/>
          </w:tblGrid>
        </w:tblGridChange>
      </w:tblGrid>
      <w:tr>
        <w:trPr>
          <w:cantSplit w:val="0"/>
          <w:trHeight w:val="1381.6800000000003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before="240" w:line="240" w:lineRule="auto"/>
              <w:jc w:val="center"/>
              <w:rPr>
                <w:rFonts w:ascii="Google Sans" w:cs="Google Sans" w:eastAsia="Google Sans" w:hAnsi="Google Sans"/>
                <w:sz w:val="8"/>
                <w:szCs w:val="8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sz w:val="28"/>
                <w:szCs w:val="28"/>
                <w:rtl w:val="0"/>
              </w:rPr>
              <w:t xml:space="preserve">Exemplar revisado</w:t>
            </w:r>
            <w:r w:rsidDel="00000000" w:rsidR="00000000" w:rsidRPr="00000000">
              <w:rPr>
                <w:rFonts w:ascii="Google Sans" w:cs="Google Sans" w:eastAsia="Google Sans" w:hAnsi="Google Sans"/>
                <w:sz w:val="8"/>
                <w:szCs w:val="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spacing w:before="240" w:line="240" w:lineRule="auto"/>
              <w:jc w:val="center"/>
              <w:rPr>
                <w:rFonts w:ascii="Google Sans" w:cs="Google Sans" w:eastAsia="Google Sans" w:hAnsi="Google Sans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0" w:line="240" w:lineRule="auto"/>
              <w:jc w:val="center"/>
              <w:rPr>
                <w:rFonts w:ascii="Google Sans" w:cs="Google Sans" w:eastAsia="Google Sans" w:hAnsi="Google Sans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16"/>
                <w:szCs w:val="16"/>
                <w:rtl w:val="0"/>
              </w:rPr>
              <w:t xml:space="preserve">O exemplar original encontra-se em</w:t>
            </w:r>
          </w:p>
          <w:p w:rsidR="00000000" w:rsidDel="00000000" w:rsidP="00000000" w:rsidRDefault="00000000" w:rsidRPr="00000000" w14:paraId="00000017">
            <w:pPr>
              <w:spacing w:before="0" w:line="240" w:lineRule="auto"/>
              <w:jc w:val="center"/>
              <w:rPr>
                <w:rFonts w:ascii="Google Sans" w:cs="Google Sans" w:eastAsia="Google Sans" w:hAnsi="Google Sans"/>
                <w:sz w:val="16"/>
                <w:szCs w:val="16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sz w:val="16"/>
                <w:szCs w:val="16"/>
                <w:rtl w:val="0"/>
              </w:rPr>
              <w:t xml:space="preserve">acervo reservado na Biblioteca do IQSC-USP</w:t>
            </w:r>
          </w:p>
        </w:tc>
      </w:tr>
    </w:tbl>
    <w:p w:rsidR="00000000" w:rsidDel="00000000" w:rsidP="00000000" w:rsidRDefault="00000000" w:rsidRPr="00000000" w14:paraId="00000018">
      <w:pPr>
        <w:spacing w:before="240" w:line="240" w:lineRule="auto"/>
        <w:jc w:val="both"/>
        <w:rPr>
          <w:rFonts w:ascii="Google Sans" w:cs="Google Sans" w:eastAsia="Google Sans" w:hAnsi="Google Sans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sz w:val="20"/>
          <w:szCs w:val="20"/>
          <w:rtl w:val="0"/>
        </w:rPr>
        <w:t xml:space="preserve">4 - O prazo máximo para a entrega da versão corrigida e definitiva será de 60 (sessenta) dias, a contar da data da defesa. Após este prazo, caso a Dissertação ou Tese corrigida não seja encaminhada ao Serviço de Pós-Graduação, o documento originalmente depositado será enviado à Biblioteca da Unidade e à Biblioteca Digital de Teses e Dissertações da USP (BDTD). </w:t>
      </w:r>
    </w:p>
    <w:p w:rsidR="00000000" w:rsidDel="00000000" w:rsidP="00000000" w:rsidRDefault="00000000" w:rsidRPr="00000000" w14:paraId="00000019">
      <w:pPr>
        <w:spacing w:before="240" w:line="240" w:lineRule="auto"/>
        <w:jc w:val="both"/>
        <w:rPr>
          <w:sz w:val="20"/>
          <w:szCs w:val="20"/>
        </w:rPr>
      </w:pPr>
      <w:hyperlink r:id="rId7">
        <w:r w:rsidDel="00000000" w:rsidR="00000000" w:rsidRPr="00000000">
          <w:rPr>
            <w:rFonts w:ascii="Google Sans" w:cs="Google Sans" w:eastAsia="Google Sans" w:hAnsi="Google Sans"/>
            <w:color w:val="1155cc"/>
            <w:sz w:val="20"/>
            <w:szCs w:val="20"/>
            <w:u w:val="single"/>
            <w:rtl w:val="0"/>
          </w:rPr>
          <w:t xml:space="preserve">RESOLUÇÃO CoPGr 6018, DE 13 DE OUTUBRO DE 2011. (D.O.E. - 01.11.2011)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40" w:lineRule="auto"/>
        <w:jc w:val="both"/>
        <w:rPr>
          <w:rFonts w:ascii="Google Sans" w:cs="Google Sans" w:eastAsia="Google Sans" w:hAnsi="Google Sans"/>
          <w:sz w:val="20"/>
          <w:szCs w:val="20"/>
        </w:rPr>
      </w:pPr>
      <w:hyperlink r:id="rId8">
        <w:r w:rsidDel="00000000" w:rsidR="00000000" w:rsidRPr="00000000">
          <w:rPr>
            <w:rFonts w:ascii="Google Sans" w:cs="Google Sans" w:eastAsia="Google Sans" w:hAnsi="Google Sans"/>
            <w:color w:val="1155cc"/>
            <w:sz w:val="20"/>
            <w:szCs w:val="20"/>
            <w:u w:val="single"/>
            <w:rtl w:val="0"/>
          </w:rPr>
          <w:t xml:space="preserve">Dispõe sobre a correção de Dissertações e Teses.</w:t>
        </w:r>
      </w:hyperlink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widowControl w:val="0"/>
      <w:spacing w:line="276" w:lineRule="auto"/>
      <w:rPr>
        <w:rFonts w:ascii="Century Gothic" w:cs="Century Gothic" w:eastAsia="Century Gothic" w:hAnsi="Century Gothic"/>
        <w:b w:val="1"/>
        <w:bCs w:val="1"/>
      </w:rPr>
    </w:pPr>
    <w:r w:rsidDel="00000000" w:rsidR="00000000" w:rsidRPr="00000000">
      <w:rPr>
        <w:rtl w:val="0"/>
      </w:rPr>
    </w:r>
  </w:p>
  <w:tbl>
    <w:tblPr>
      <w:tblStyle w:val="Table2"/>
      <w:tblpPr w:leftFromText="180" w:rightFromText="180" w:topFromText="180" w:bottomFromText="180" w:vertAnchor="text" w:horzAnchor="text" w:tblpX="0" w:tblpY="0"/>
      <w:tblW w:w="9941.000000000002" w:type="dxa"/>
      <w:jc w:val="left"/>
      <w:tblLayout w:type="fixed"/>
      <w:tblLook w:val="0000"/>
    </w:tblPr>
    <w:tblGrid>
      <w:gridCol w:w="1596"/>
      <w:gridCol w:w="6412"/>
      <w:gridCol w:w="1933"/>
      <w:tblGridChange w:id="0">
        <w:tblGrid>
          <w:gridCol w:w="1596"/>
          <w:gridCol w:w="6412"/>
          <w:gridCol w:w="1933"/>
        </w:tblGrid>
      </w:tblGridChange>
    </w:tblGrid>
    <w:tr>
      <w:trPr>
        <w:cantSplit w:val="0"/>
        <w:trHeight w:val="838.65966796875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1C">
          <w:pPr>
            <w:tabs>
              <w:tab w:val="center" w:leader="none" w:pos="4252"/>
              <w:tab w:val="right" w:leader="none" w:pos="8504"/>
            </w:tabs>
            <w:spacing w:line="240" w:lineRule="auto"/>
            <w:ind w:left="-708.6614173228347" w:firstLine="0"/>
            <w:jc w:val="right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sz w:val="20"/>
              <w:szCs w:val="20"/>
            </w:rPr>
            <w:drawing>
              <wp:inline distB="114300" distT="114300" distL="114300" distR="114300">
                <wp:extent cx="857250" cy="9017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901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D">
          <w:pPr>
            <w:tabs>
              <w:tab w:val="center" w:leader="none" w:pos="4252"/>
              <w:tab w:val="right" w:leader="none" w:pos="8504"/>
            </w:tabs>
            <w:spacing w:line="240" w:lineRule="auto"/>
            <w:jc w:val="center"/>
            <w:rPr>
              <w:b w:val="1"/>
              <w:bCs w:val="1"/>
              <w:smallCaps w:val="1"/>
              <w:sz w:val="32"/>
              <w:szCs w:val="3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center" w:leader="none" w:pos="4252"/>
              <w:tab w:val="right" w:leader="none" w:pos="8504"/>
            </w:tabs>
            <w:spacing w:line="240" w:lineRule="auto"/>
            <w:rPr>
              <w:b w:val="1"/>
              <w:bCs w:val="1"/>
              <w:smallCaps w:val="1"/>
              <w:sz w:val="32"/>
              <w:szCs w:val="32"/>
            </w:rPr>
          </w:pPr>
          <w:r w:rsidDel="00000000" w:rsidR="00000000" w:rsidRPr="00000000">
            <w:rPr>
              <w:b w:val="1"/>
              <w:bCs w:val="1"/>
              <w:smallCaps w:val="1"/>
              <w:sz w:val="32"/>
              <w:szCs w:val="32"/>
              <w:rtl w:val="0"/>
            </w:rPr>
            <w:t xml:space="preserve">UNIVERSIDADE DE SÃO PAULO</w:t>
          </w:r>
        </w:p>
        <w:p w:rsidR="00000000" w:rsidDel="00000000" w:rsidP="00000000" w:rsidRDefault="00000000" w:rsidRPr="00000000" w14:paraId="0000001F">
          <w:pPr>
            <w:tabs>
              <w:tab w:val="center" w:leader="none" w:pos="4252"/>
              <w:tab w:val="right" w:leader="none" w:pos="8504"/>
            </w:tabs>
            <w:spacing w:line="240" w:lineRule="auto"/>
            <w:rPr>
              <w:smallCaps w:val="1"/>
            </w:rPr>
          </w:pPr>
          <w:r w:rsidDel="00000000" w:rsidR="00000000" w:rsidRPr="00000000">
            <w:rPr>
              <w:smallCaps w:val="1"/>
              <w:rtl w:val="0"/>
            </w:rPr>
            <w:t xml:space="preserve">INSTITUTO DE QUÍMICA DE SÃO CARLOS</w:t>
          </w:r>
        </w:p>
        <w:p w:rsidR="00000000" w:rsidDel="00000000" w:rsidP="00000000" w:rsidRDefault="00000000" w:rsidRPr="00000000" w14:paraId="00000020">
          <w:pPr>
            <w:tabs>
              <w:tab w:val="center" w:leader="none" w:pos="4252"/>
              <w:tab w:val="right" w:leader="none" w:pos="8504"/>
            </w:tabs>
            <w:spacing w:line="240" w:lineRule="auto"/>
            <w:rPr>
              <w:rFonts w:ascii="Open Sans" w:cs="Open Sans" w:eastAsia="Open Sans" w:hAnsi="Open Sans"/>
              <w:smallCaps w:val="1"/>
              <w:color w:val="666666"/>
              <w:sz w:val="20"/>
              <w:szCs w:val="20"/>
              <w:highlight w:val="white"/>
            </w:rPr>
          </w:pPr>
          <w:r w:rsidDel="00000000" w:rsidR="00000000" w:rsidRPr="00000000">
            <w:rPr>
              <w:rFonts w:ascii="Open Sans" w:cs="Open Sans" w:eastAsia="Open Sans" w:hAnsi="Open Sans"/>
              <w:color w:val="666666"/>
              <w:sz w:val="20"/>
              <w:szCs w:val="20"/>
              <w:highlight w:val="white"/>
              <w:rtl w:val="0"/>
            </w:rPr>
            <w:t xml:space="preserve">Serviço de Pós-Graduação</w:t>
          </w:r>
          <w:r w:rsidDel="00000000" w:rsidR="00000000" w:rsidRPr="00000000">
            <w:rPr>
              <w:rFonts w:ascii="Open Sans" w:cs="Open Sans" w:eastAsia="Open Sans" w:hAnsi="Open Sans"/>
              <w:smallCaps w:val="1"/>
              <w:color w:val="666666"/>
              <w:sz w:val="20"/>
              <w:szCs w:val="20"/>
              <w:highlight w:val="white"/>
              <w:rtl w:val="0"/>
            </w:rPr>
            <w:t xml:space="preserve"> </w:t>
          </w:r>
        </w:p>
        <w:p w:rsidR="00000000" w:rsidDel="00000000" w:rsidP="00000000" w:rsidRDefault="00000000" w:rsidRPr="00000000" w14:paraId="00000021">
          <w:pPr>
            <w:tabs>
              <w:tab w:val="center" w:leader="none" w:pos="4252"/>
              <w:tab w:val="right" w:leader="none" w:pos="8504"/>
            </w:tabs>
            <w:spacing w:line="240" w:lineRule="auto"/>
            <w:rPr>
              <w:rFonts w:ascii="Open Sans" w:cs="Open Sans" w:eastAsia="Open Sans" w:hAnsi="Open Sans"/>
              <w:smallCaps w:val="1"/>
              <w:color w:val="666666"/>
              <w:sz w:val="16"/>
              <w:szCs w:val="16"/>
              <w:highlight w:val="white"/>
            </w:rPr>
          </w:pPr>
          <w:r w:rsidDel="00000000" w:rsidR="00000000" w:rsidRPr="00000000">
            <w:rPr>
              <w:rFonts w:ascii="Open Sans" w:cs="Open Sans" w:eastAsia="Open Sans" w:hAnsi="Open Sans"/>
              <w:smallCaps w:val="1"/>
              <w:color w:val="666666"/>
              <w:sz w:val="16"/>
              <w:szCs w:val="16"/>
              <w:highlight w:val="white"/>
              <w:rtl w:val="0"/>
            </w:rPr>
            <w:t xml:space="preserve">(16) 3373-9909       </w:t>
          </w:r>
          <w:r w:rsidDel="00000000" w:rsidR="00000000" w:rsidRPr="00000000">
            <w:rPr>
              <w:rFonts w:ascii="Open Sans" w:cs="Open Sans" w:eastAsia="Open Sans" w:hAnsi="Open Sans"/>
              <w:color w:val="666666"/>
              <w:sz w:val="16"/>
              <w:szCs w:val="16"/>
              <w:highlight w:val="white"/>
              <w:rtl w:val="0"/>
            </w:rPr>
            <w:t xml:space="preserve">www.iqsc.usp.br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22">
          <w:pPr>
            <w:tabs>
              <w:tab w:val="center" w:leader="none" w:pos="4252"/>
              <w:tab w:val="right" w:leader="none" w:pos="8504"/>
            </w:tabs>
            <w:spacing w:line="240" w:lineRule="auto"/>
            <w:jc w:val="center"/>
            <w:rPr>
              <w:sz w:val="24"/>
              <w:szCs w:val="24"/>
            </w:rPr>
          </w:pPr>
          <w:r w:rsidDel="00000000" w:rsidR="00000000" w:rsidRPr="00000000">
            <w:rPr>
              <w:sz w:val="24"/>
              <w:szCs w:val="24"/>
            </w:rPr>
            <w:drawing>
              <wp:inline distB="0" distT="0" distL="0" distR="0">
                <wp:extent cx="962025" cy="733425"/>
                <wp:effectExtent b="0" l="0" r="0" t="0"/>
                <wp:docPr descr="logo_pos2" id="2" name="image1.png"/>
                <a:graphic>
                  <a:graphicData uri="http://schemas.openxmlformats.org/drawingml/2006/picture">
                    <pic:pic>
                      <pic:nvPicPr>
                        <pic:cNvPr descr="logo_pos2"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3"/>
          <w:tcBorders>
            <w:bottom w:color="000000" w:space="0" w:sz="4" w:val="single"/>
          </w:tcBorders>
        </w:tcPr>
        <w:p w:rsidR="00000000" w:rsidDel="00000000" w:rsidP="00000000" w:rsidRDefault="00000000" w:rsidRPr="00000000" w14:paraId="00000023">
          <w:pPr>
            <w:tabs>
              <w:tab w:val="center" w:leader="none" w:pos="4252"/>
              <w:tab w:val="right" w:leader="none" w:pos="8504"/>
            </w:tabs>
            <w:spacing w:line="240" w:lineRule="auto"/>
            <w:rPr>
              <w:sz w:val="6"/>
              <w:szCs w:val="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yperlink" Target="http://www.leginf.usp.br/?resolucao=resolucao-copgr-no-6018-de-13-de-outubro-de-2011" TargetMode="External"/><Relationship Id="rId8" Type="http://schemas.openxmlformats.org/officeDocument/2006/relationships/hyperlink" Target="http://www.leginf.usp.br/?resolucao=resolucao-copgr-no-6018-de-13-de-outubro-de-201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